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09713A" w14:textId="77777777" w:rsidR="004B56B9" w:rsidRDefault="005B278E">
      <w:pPr>
        <w:pBdr>
          <w:top w:val="single" w:sz="4" w:space="1" w:color="auto"/>
          <w:bottom w:val="single" w:sz="4" w:space="1" w:color="auto"/>
        </w:pBdr>
        <w:shd w:val="clear" w:color="auto" w:fill="262626" w:themeFill="text1" w:themeFillTint="D9"/>
        <w:jc w:val="center"/>
        <w:rPr>
          <w:b/>
          <w:smallCaps/>
        </w:rPr>
      </w:pPr>
      <w:r>
        <w:rPr>
          <w:b/>
          <w:smallCaps/>
        </w:rPr>
        <w:t>Instructions</w:t>
      </w:r>
    </w:p>
    <w:p w14:paraId="1F49B270" w14:textId="77777777" w:rsidR="004B56B9" w:rsidRDefault="005B278E">
      <w:pPr>
        <w:pBdr>
          <w:bottom w:val="single" w:sz="4" w:space="1" w:color="auto"/>
        </w:pBdr>
      </w:pPr>
      <w:r>
        <w:t xml:space="preserve">Please supply requested information in the blue-shaded areas and indicate any attachments that have been included.  Where appropriate, supporting documentation may be referenced by specific page and/or paragraph number(s). </w:t>
      </w:r>
    </w:p>
    <w:p w14:paraId="694F2988" w14:textId="77777777" w:rsidR="004B56B9" w:rsidRDefault="004B56B9">
      <w:pPr>
        <w:pBdr>
          <w:bottom w:val="single" w:sz="4" w:space="1" w:color="auto"/>
        </w:pBdr>
      </w:pPr>
    </w:p>
    <w:p w14:paraId="1CF9451D" w14:textId="77777777" w:rsidR="004B56B9" w:rsidRDefault="005B278E">
      <w:pPr>
        <w:pBdr>
          <w:bottom w:val="single" w:sz="4" w:space="1" w:color="auto"/>
        </w:pBdr>
        <w:rPr>
          <w:b/>
          <w:bCs/>
        </w:rPr>
      </w:pPr>
      <w:r>
        <w:rPr>
          <w:b/>
          <w:bCs/>
        </w:rPr>
        <w:t>If any of this response contain</w:t>
      </w:r>
      <w:r>
        <w:rPr>
          <w:b/>
          <w:bCs/>
        </w:rPr>
        <w:t xml:space="preserve">s confidential information, as defined by IC 5-14-3, provide a separate redacted (for public release) version of this document.  Specify which statutory exception of APRA applies and provide a description explaining the </w:t>
      </w:r>
      <w:proofErr w:type="gramStart"/>
      <w:r>
        <w:rPr>
          <w:b/>
          <w:bCs/>
        </w:rPr>
        <w:t>manner in which</w:t>
      </w:r>
      <w:proofErr w:type="gramEnd"/>
      <w:r>
        <w:rPr>
          <w:b/>
          <w:bCs/>
        </w:rPr>
        <w:t xml:space="preserve"> the statutory except</w:t>
      </w:r>
      <w:r>
        <w:rPr>
          <w:b/>
          <w:bCs/>
        </w:rPr>
        <w:t>ion to the APRA applies.</w:t>
      </w:r>
    </w:p>
    <w:p w14:paraId="21DD22EF" w14:textId="77777777" w:rsidR="004B56B9" w:rsidRDefault="004B56B9">
      <w:pPr>
        <w:rPr>
          <w:b/>
          <w:smallCaps/>
        </w:rPr>
      </w:pPr>
    </w:p>
    <w:p w14:paraId="3B91E38C" w14:textId="77777777" w:rsidR="004B56B9" w:rsidRDefault="005B278E">
      <w:pPr>
        <w:rPr>
          <w:b/>
          <w:smallCaps/>
        </w:rPr>
      </w:pPr>
      <w:r>
        <w:rPr>
          <w:b/>
          <w:smallCaps/>
          <w:u w:val="single"/>
        </w:rPr>
        <w:t>Respondent Name:</w:t>
      </w:r>
      <w:r>
        <w:rPr>
          <w:b/>
          <w:smallCaps/>
        </w:rPr>
        <w:t xml:space="preserve"> Indiana Professional Management Group</w:t>
      </w:r>
    </w:p>
    <w:tbl>
      <w:tblPr>
        <w:tblStyle w:val="TableGrid"/>
        <w:tblW w:w="14400" w:type="dxa"/>
        <w:tblLook w:val="04A0" w:firstRow="1" w:lastRow="0" w:firstColumn="1" w:lastColumn="0" w:noHBand="0" w:noVBand="1"/>
      </w:tblPr>
      <w:tblGrid>
        <w:gridCol w:w="1260"/>
        <w:gridCol w:w="990"/>
        <w:gridCol w:w="6030"/>
        <w:gridCol w:w="6120"/>
      </w:tblGrid>
      <w:tr w:rsidR="004B56B9" w14:paraId="3207A94D" w14:textId="77777777">
        <w:trPr>
          <w:tblHeader/>
        </w:trPr>
        <w:tc>
          <w:tcPr>
            <w:tcW w:w="1260" w:type="dxa"/>
            <w:tcBorders>
              <w:top w:val="nil"/>
              <w:left w:val="nil"/>
              <w:bottom w:val="single" w:sz="4" w:space="0" w:color="auto"/>
              <w:right w:val="nil"/>
            </w:tcBorders>
            <w:shd w:val="clear" w:color="auto" w:fill="FFFFFF" w:themeFill="background1"/>
          </w:tcPr>
          <w:p w14:paraId="66D33897" w14:textId="77777777" w:rsidR="004B56B9" w:rsidRDefault="004B56B9">
            <w:pPr>
              <w:rPr>
                <w:b/>
                <w:smallCaps/>
                <w:color w:val="FF0000"/>
              </w:rPr>
            </w:pPr>
          </w:p>
        </w:tc>
        <w:tc>
          <w:tcPr>
            <w:tcW w:w="13140" w:type="dxa"/>
            <w:gridSpan w:val="3"/>
            <w:tcBorders>
              <w:top w:val="nil"/>
              <w:left w:val="nil"/>
              <w:bottom w:val="single" w:sz="4" w:space="0" w:color="auto"/>
              <w:right w:val="nil"/>
            </w:tcBorders>
            <w:shd w:val="clear" w:color="auto" w:fill="FFFFFF" w:themeFill="background1"/>
            <w:vAlign w:val="center"/>
          </w:tcPr>
          <w:p w14:paraId="502EE4AD" w14:textId="77777777" w:rsidR="004B56B9" w:rsidRDefault="004B56B9">
            <w:pPr>
              <w:rPr>
                <w:b/>
                <w:smallCaps/>
                <w:color w:val="FF0000"/>
              </w:rPr>
            </w:pPr>
          </w:p>
        </w:tc>
      </w:tr>
      <w:tr w:rsidR="004B56B9" w14:paraId="3D8460B3" w14:textId="77777777">
        <w:trPr>
          <w:tblHeader/>
        </w:trPr>
        <w:tc>
          <w:tcPr>
            <w:tcW w:w="1260" w:type="dxa"/>
            <w:tcBorders>
              <w:top w:val="single" w:sz="4" w:space="0" w:color="auto"/>
            </w:tcBorders>
            <w:shd w:val="clear" w:color="auto" w:fill="262626" w:themeFill="text1" w:themeFillTint="D9"/>
          </w:tcPr>
          <w:p w14:paraId="6AF6AA63" w14:textId="77777777" w:rsidR="004B56B9" w:rsidRDefault="005B278E">
            <w:pPr>
              <w:jc w:val="center"/>
              <w:rPr>
                <w:b/>
                <w:smallCaps/>
              </w:rPr>
            </w:pPr>
            <w:r>
              <w:rPr>
                <w:b/>
                <w:smallCaps/>
              </w:rPr>
              <w:t>Document</w:t>
            </w:r>
          </w:p>
        </w:tc>
        <w:tc>
          <w:tcPr>
            <w:tcW w:w="990" w:type="dxa"/>
            <w:tcBorders>
              <w:top w:val="single" w:sz="4" w:space="0" w:color="auto"/>
            </w:tcBorders>
            <w:shd w:val="clear" w:color="auto" w:fill="262626" w:themeFill="text1" w:themeFillTint="D9"/>
            <w:vAlign w:val="center"/>
          </w:tcPr>
          <w:p w14:paraId="13F399BE" w14:textId="77777777" w:rsidR="004B56B9" w:rsidRDefault="005B278E">
            <w:pPr>
              <w:jc w:val="center"/>
              <w:rPr>
                <w:b/>
                <w:smallCaps/>
              </w:rPr>
            </w:pPr>
            <w:r>
              <w:rPr>
                <w:b/>
                <w:smallCaps/>
              </w:rPr>
              <w:t xml:space="preserve">Section </w:t>
            </w:r>
          </w:p>
        </w:tc>
        <w:tc>
          <w:tcPr>
            <w:tcW w:w="6030" w:type="dxa"/>
            <w:tcBorders>
              <w:top w:val="single" w:sz="4" w:space="0" w:color="auto"/>
            </w:tcBorders>
            <w:shd w:val="clear" w:color="auto" w:fill="262626" w:themeFill="text1" w:themeFillTint="D9"/>
            <w:vAlign w:val="center"/>
          </w:tcPr>
          <w:p w14:paraId="035DD895" w14:textId="77777777" w:rsidR="004B56B9" w:rsidRDefault="005B278E">
            <w:pPr>
              <w:jc w:val="center"/>
              <w:rPr>
                <w:b/>
                <w:smallCaps/>
              </w:rPr>
            </w:pPr>
            <w:r>
              <w:rPr>
                <w:b/>
                <w:smallCaps/>
              </w:rPr>
              <w:t>Clarification Question</w:t>
            </w:r>
          </w:p>
        </w:tc>
        <w:tc>
          <w:tcPr>
            <w:tcW w:w="6120" w:type="dxa"/>
            <w:tcBorders>
              <w:top w:val="single" w:sz="4" w:space="0" w:color="auto"/>
            </w:tcBorders>
            <w:shd w:val="clear" w:color="auto" w:fill="262626" w:themeFill="text1" w:themeFillTint="D9"/>
            <w:vAlign w:val="center"/>
          </w:tcPr>
          <w:p w14:paraId="424A7557" w14:textId="77777777" w:rsidR="004B56B9" w:rsidRDefault="005B278E">
            <w:pPr>
              <w:jc w:val="center"/>
              <w:rPr>
                <w:b/>
                <w:smallCaps/>
              </w:rPr>
            </w:pPr>
            <w:r>
              <w:rPr>
                <w:b/>
                <w:smallCaps/>
              </w:rPr>
              <w:t>Respondent Response</w:t>
            </w:r>
          </w:p>
        </w:tc>
      </w:tr>
      <w:tr w:rsidR="004B56B9" w14:paraId="72E371EB" w14:textId="77777777">
        <w:tc>
          <w:tcPr>
            <w:tcW w:w="1260" w:type="dxa"/>
          </w:tcPr>
          <w:p w14:paraId="1A7E818E" w14:textId="77777777" w:rsidR="004B56B9" w:rsidRDefault="005B278E">
            <w:pPr>
              <w:rPr>
                <w:sz w:val="22"/>
                <w:szCs w:val="18"/>
              </w:rPr>
            </w:pPr>
            <w:r>
              <w:rPr>
                <w:sz w:val="22"/>
                <w:szCs w:val="18"/>
              </w:rPr>
              <w:t>Transmittal Letter</w:t>
            </w:r>
          </w:p>
        </w:tc>
        <w:tc>
          <w:tcPr>
            <w:tcW w:w="990" w:type="dxa"/>
          </w:tcPr>
          <w:p w14:paraId="023CE5DA" w14:textId="77777777" w:rsidR="004B56B9" w:rsidRDefault="005B278E">
            <w:pPr>
              <w:rPr>
                <w:sz w:val="22"/>
                <w:szCs w:val="18"/>
              </w:rPr>
            </w:pPr>
            <w:r>
              <w:rPr>
                <w:sz w:val="22"/>
                <w:szCs w:val="18"/>
              </w:rPr>
              <w:t>2.2.2</w:t>
            </w:r>
          </w:p>
        </w:tc>
        <w:tc>
          <w:tcPr>
            <w:tcW w:w="6030" w:type="dxa"/>
          </w:tcPr>
          <w:p w14:paraId="754A97AF" w14:textId="77777777" w:rsidR="004B56B9" w:rsidRDefault="005B278E">
            <w:pPr>
              <w:rPr>
                <w:color w:val="000000"/>
              </w:rPr>
            </w:pPr>
            <w:r>
              <w:rPr>
                <w:color w:val="000000"/>
              </w:rPr>
              <w:t>As stated in RFS Section 2.2.2, Respondents must provide a transmittal letter that contains “a statement indicating the Respondent’s willingness to provide the requested products and/or services subject to the terms and conditions set forth in the RFS incl</w:t>
            </w:r>
            <w:r>
              <w:rPr>
                <w:color w:val="000000"/>
              </w:rPr>
              <w:t xml:space="preserve">uding, but not limited to, the State’s contract terms set forth in Attachment B.” </w:t>
            </w:r>
          </w:p>
          <w:p w14:paraId="49AA1D52" w14:textId="77777777" w:rsidR="004B56B9" w:rsidRDefault="004B56B9">
            <w:pPr>
              <w:rPr>
                <w:color w:val="000000"/>
              </w:rPr>
            </w:pPr>
          </w:p>
          <w:p w14:paraId="1E33B03A" w14:textId="77777777" w:rsidR="004B56B9" w:rsidRDefault="005B278E">
            <w:pPr>
              <w:rPr>
                <w:color w:val="000000"/>
              </w:rPr>
            </w:pPr>
            <w:r>
              <w:rPr>
                <w:color w:val="000000"/>
              </w:rPr>
              <w:t xml:space="preserve">In your RFP transmittal </w:t>
            </w:r>
            <w:proofErr w:type="gramStart"/>
            <w:r>
              <w:rPr>
                <w:color w:val="000000"/>
              </w:rPr>
              <w:t>letter</w:t>
            </w:r>
            <w:proofErr w:type="gramEnd"/>
            <w:r>
              <w:rPr>
                <w:color w:val="000000"/>
              </w:rPr>
              <w:t xml:space="preserve"> you state, </w:t>
            </w:r>
          </w:p>
          <w:p w14:paraId="3FFC67F4" w14:textId="77777777" w:rsidR="004B56B9" w:rsidRDefault="004B56B9">
            <w:pPr>
              <w:rPr>
                <w:color w:val="000000"/>
              </w:rPr>
            </w:pPr>
          </w:p>
          <w:p w14:paraId="512CCF09" w14:textId="77777777" w:rsidR="004B56B9" w:rsidRDefault="005B278E">
            <w:pPr>
              <w:ind w:left="720"/>
              <w:rPr>
                <w:i/>
                <w:iCs/>
              </w:rPr>
            </w:pPr>
            <w:r>
              <w:rPr>
                <w:i/>
                <w:iCs/>
                <w:sz w:val="22"/>
                <w:szCs w:val="22"/>
              </w:rPr>
              <w:t xml:space="preserve">IPMG is enrolled as an Indiana Health Coverage Programs (IHCP) provider and understands that if selected, will </w:t>
            </w:r>
            <w:proofErr w:type="gramStart"/>
            <w:r>
              <w:rPr>
                <w:i/>
                <w:iCs/>
                <w:sz w:val="22"/>
                <w:szCs w:val="22"/>
              </w:rPr>
              <w:t>enter into</w:t>
            </w:r>
            <w:proofErr w:type="gramEnd"/>
            <w:r>
              <w:rPr>
                <w:i/>
                <w:iCs/>
                <w:sz w:val="22"/>
                <w:szCs w:val="22"/>
              </w:rPr>
              <w:t xml:space="preserve"> an add</w:t>
            </w:r>
            <w:r>
              <w:rPr>
                <w:i/>
                <w:iCs/>
                <w:sz w:val="22"/>
                <w:szCs w:val="22"/>
              </w:rPr>
              <w:t>itional contract with the State beyond our IHCP Provider Agreement, though the terms related to covered services and payment shall remain governed by the Provider Agreement. Additionally, IPMG agrees with the requirements/conditions listed in Section 1.</w:t>
            </w:r>
          </w:p>
          <w:p w14:paraId="3F0F6C7A" w14:textId="77777777" w:rsidR="004B56B9" w:rsidRDefault="004B56B9"/>
          <w:p w14:paraId="4DC166DA" w14:textId="77777777" w:rsidR="004B56B9" w:rsidRDefault="005B278E">
            <w:r>
              <w:t>P</w:t>
            </w:r>
            <w:r>
              <w:t>lease confirm if you are willing to provide the services set forth in the RFS, including but not limited to, the State’s contract terms set forth in Attachment B.</w:t>
            </w:r>
          </w:p>
          <w:p w14:paraId="0F938D91" w14:textId="77777777" w:rsidR="004B56B9" w:rsidRDefault="004B56B9">
            <w:pPr>
              <w:rPr>
                <w:sz w:val="22"/>
                <w:szCs w:val="18"/>
              </w:rPr>
            </w:pPr>
          </w:p>
        </w:tc>
        <w:tc>
          <w:tcPr>
            <w:tcW w:w="6120" w:type="dxa"/>
            <w:shd w:val="clear" w:color="auto" w:fill="DEEAF6" w:themeFill="accent1" w:themeFillTint="33"/>
          </w:tcPr>
          <w:p w14:paraId="2F7FEE27" w14:textId="77777777" w:rsidR="005B278E" w:rsidRPr="005B278E" w:rsidRDefault="005B278E">
            <w:pPr>
              <w:rPr>
                <w:sz w:val="22"/>
                <w:szCs w:val="18"/>
              </w:rPr>
            </w:pPr>
            <w:r w:rsidRPr="005B278E">
              <w:rPr>
                <w:sz w:val="22"/>
                <w:szCs w:val="18"/>
              </w:rPr>
              <w:t>IPMG</w:t>
            </w:r>
            <w:r w:rsidRPr="005B278E">
              <w:rPr>
                <w:sz w:val="22"/>
                <w:szCs w:val="18"/>
              </w:rPr>
              <w:t xml:space="preserve"> is willing to provide the requested products and/or services of Case Management Services as</w:t>
            </w:r>
            <w:r w:rsidRPr="005B278E">
              <w:rPr>
                <w:sz w:val="22"/>
                <w:szCs w:val="18"/>
              </w:rPr>
              <w:t xml:space="preserve"> set forth in the RFS</w:t>
            </w:r>
            <w:r w:rsidRPr="005B278E">
              <w:rPr>
                <w:sz w:val="22"/>
                <w:szCs w:val="18"/>
              </w:rPr>
              <w:t xml:space="preserve"> including, but not limited to, the State’s contract terms set forth in Attachment B.  </w:t>
            </w:r>
          </w:p>
          <w:p w14:paraId="2AAABB62" w14:textId="5B0CEEF6" w:rsidR="004B56B9" w:rsidRPr="005B278E" w:rsidRDefault="005B278E">
            <w:pPr>
              <w:rPr>
                <w:sz w:val="22"/>
                <w:szCs w:val="18"/>
              </w:rPr>
            </w:pPr>
            <w:r w:rsidRPr="005B278E">
              <w:rPr>
                <w:sz w:val="22"/>
                <w:szCs w:val="18"/>
              </w:rPr>
              <w:t>IPMG</w:t>
            </w:r>
            <w:r w:rsidRPr="005B278E">
              <w:rPr>
                <w:sz w:val="22"/>
                <w:szCs w:val="18"/>
              </w:rPr>
              <w:t xml:space="preserve"> understands those terms are non-negotiable.  If the State chooses to negotiate increased pricing with other vendors for the products and/or services covered b</w:t>
            </w:r>
            <w:r w:rsidRPr="005B278E">
              <w:rPr>
                <w:sz w:val="22"/>
                <w:szCs w:val="18"/>
              </w:rPr>
              <w:t xml:space="preserve">y the RFS, the Respondent </w:t>
            </w:r>
            <w:proofErr w:type="gramStart"/>
            <w:r w:rsidRPr="005B278E">
              <w:rPr>
                <w:sz w:val="22"/>
                <w:szCs w:val="18"/>
              </w:rPr>
              <w:t>would</w:t>
            </w:r>
            <w:proofErr w:type="gramEnd"/>
            <w:r w:rsidRPr="005B278E">
              <w:rPr>
                <w:sz w:val="22"/>
                <w:szCs w:val="18"/>
              </w:rPr>
              <w:t xml:space="preserve"> ask that those concessions be made for all vendors in a similar manner so as to avoid discriminatory impact.</w:t>
            </w:r>
          </w:p>
        </w:tc>
      </w:tr>
      <w:tr w:rsidR="004B56B9" w14:paraId="77449A72" w14:textId="77777777">
        <w:tc>
          <w:tcPr>
            <w:tcW w:w="1260" w:type="dxa"/>
          </w:tcPr>
          <w:p w14:paraId="1A9643FA" w14:textId="77777777" w:rsidR="004B56B9" w:rsidRDefault="005B278E">
            <w:pPr>
              <w:rPr>
                <w:sz w:val="22"/>
                <w:szCs w:val="18"/>
              </w:rPr>
            </w:pPr>
            <w:r>
              <w:rPr>
                <w:sz w:val="22"/>
                <w:szCs w:val="18"/>
              </w:rPr>
              <w:lastRenderedPageBreak/>
              <w:t>Business Proposal</w:t>
            </w:r>
          </w:p>
        </w:tc>
        <w:tc>
          <w:tcPr>
            <w:tcW w:w="990" w:type="dxa"/>
          </w:tcPr>
          <w:p w14:paraId="11BA8E30" w14:textId="77777777" w:rsidR="004B56B9" w:rsidRDefault="005B278E">
            <w:pPr>
              <w:rPr>
                <w:sz w:val="22"/>
                <w:szCs w:val="18"/>
              </w:rPr>
            </w:pPr>
            <w:r>
              <w:rPr>
                <w:sz w:val="22"/>
                <w:szCs w:val="18"/>
              </w:rPr>
              <w:t>2.3.5</w:t>
            </w:r>
          </w:p>
        </w:tc>
        <w:tc>
          <w:tcPr>
            <w:tcW w:w="6030" w:type="dxa"/>
          </w:tcPr>
          <w:p w14:paraId="3CED7C0A" w14:textId="77777777" w:rsidR="004B56B9" w:rsidRDefault="005B278E">
            <w:r>
              <w:t xml:space="preserve">In Section 2.3.5 of the Business </w:t>
            </w:r>
            <w:proofErr w:type="gramStart"/>
            <w:r>
              <w:t>Proposal</w:t>
            </w:r>
            <w:proofErr w:type="gramEnd"/>
            <w:r>
              <w:t xml:space="preserve"> you state, </w:t>
            </w:r>
          </w:p>
          <w:p w14:paraId="7DBC52BC" w14:textId="77777777" w:rsidR="004B56B9" w:rsidRDefault="004B56B9"/>
          <w:p w14:paraId="3CBF04F6" w14:textId="77777777" w:rsidR="004B56B9" w:rsidRDefault="005B278E">
            <w:pPr>
              <w:ind w:left="720"/>
              <w:rPr>
                <w:i/>
                <w:iCs/>
              </w:rPr>
            </w:pPr>
            <w:r>
              <w:rPr>
                <w:i/>
                <w:iCs/>
              </w:rPr>
              <w:t>IPMG has every intent to sign a con</w:t>
            </w:r>
            <w:r>
              <w:rPr>
                <w:i/>
                <w:iCs/>
              </w:rPr>
              <w:t xml:space="preserve">tract. IPMG currently has the following </w:t>
            </w:r>
            <w:proofErr w:type="gramStart"/>
            <w:r>
              <w:rPr>
                <w:i/>
                <w:iCs/>
              </w:rPr>
              <w:t>Corporate</w:t>
            </w:r>
            <w:proofErr w:type="gramEnd"/>
            <w:r>
              <w:rPr>
                <w:i/>
                <w:iCs/>
              </w:rPr>
              <w:t xml:space="preserve"> insurance coverage as listed in attachment: 2.3.5 Contract Terms Clauses- Insurance Coverages</w:t>
            </w:r>
          </w:p>
          <w:p w14:paraId="072E2537" w14:textId="77777777" w:rsidR="004B56B9" w:rsidRDefault="004B56B9">
            <w:pPr>
              <w:rPr>
                <w:color w:val="000000"/>
              </w:rPr>
            </w:pPr>
          </w:p>
          <w:p w14:paraId="10566C46" w14:textId="77777777" w:rsidR="004B56B9" w:rsidRDefault="005B278E">
            <w:pPr>
              <w:rPr>
                <w:color w:val="000000"/>
              </w:rPr>
            </w:pPr>
            <w:r>
              <w:rPr>
                <w:color w:val="000000"/>
              </w:rPr>
              <w:t>Please clarify if the referenced attachment is intended as proposed edits to the State’s sample contract (Attac</w:t>
            </w:r>
            <w:r>
              <w:rPr>
                <w:color w:val="000000"/>
              </w:rPr>
              <w:t xml:space="preserve">hment B). If so, please clarify that your proposal is not contingent upon the State’s acceptance of proposed changes to non-negotiable contract clauses. </w:t>
            </w:r>
          </w:p>
          <w:p w14:paraId="5E84833C" w14:textId="77777777" w:rsidR="004B56B9" w:rsidRDefault="004B56B9">
            <w:pPr>
              <w:rPr>
                <w:color w:val="000000"/>
              </w:rPr>
            </w:pPr>
          </w:p>
        </w:tc>
        <w:tc>
          <w:tcPr>
            <w:tcW w:w="6120" w:type="dxa"/>
            <w:shd w:val="clear" w:color="auto" w:fill="DEEAF6" w:themeFill="accent1" w:themeFillTint="33"/>
          </w:tcPr>
          <w:p w14:paraId="1CAB6B6B" w14:textId="77777777" w:rsidR="004B56B9" w:rsidRDefault="005B278E">
            <w:pPr>
              <w:rPr>
                <w:sz w:val="22"/>
                <w:szCs w:val="18"/>
              </w:rPr>
            </w:pPr>
            <w:r w:rsidRPr="005B278E">
              <w:rPr>
                <w:sz w:val="22"/>
                <w:szCs w:val="18"/>
              </w:rPr>
              <w:t xml:space="preserve">IPMG believes its current coverage is adequate and best-in-class for the provision of case </w:t>
            </w:r>
            <w:r w:rsidRPr="005B278E">
              <w:rPr>
                <w:sz w:val="22"/>
                <w:szCs w:val="18"/>
              </w:rPr>
              <w:t>management services.  As such, we propose these coverage limits as proposed edits to the State’s sample contract, but our proposal is not contingent upon the State’s acceptance of these proposed changes.</w:t>
            </w:r>
          </w:p>
        </w:tc>
      </w:tr>
    </w:tbl>
    <w:p w14:paraId="1DE5F88F" w14:textId="77777777" w:rsidR="004B56B9" w:rsidRDefault="004B56B9">
      <w:pPr>
        <w:rPr>
          <w:b/>
          <w:smallCaps/>
        </w:rPr>
      </w:pPr>
    </w:p>
    <w:p w14:paraId="1A7D4438" w14:textId="77777777" w:rsidR="004B56B9" w:rsidRDefault="004B56B9"/>
    <w:sectPr w:rsidR="004B56B9">
      <w:headerReference w:type="even" r:id="rId8"/>
      <w:headerReference w:type="default" r:id="rId9"/>
      <w:footerReference w:type="even" r:id="rId10"/>
      <w:footerReference w:type="default" r:id="rId11"/>
      <w:headerReference w:type="first" r:id="rId12"/>
      <w:footerReference w:type="first" r:id="rId13"/>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11CD84" w14:textId="77777777" w:rsidR="004B56B9" w:rsidRDefault="005B278E">
      <w:pPr>
        <w:spacing w:line="240" w:lineRule="auto"/>
      </w:pPr>
      <w:r>
        <w:separator/>
      </w:r>
    </w:p>
  </w:endnote>
  <w:endnote w:type="continuationSeparator" w:id="0">
    <w:p w14:paraId="7D891508" w14:textId="77777777" w:rsidR="004B56B9" w:rsidRDefault="005B278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F6878" w14:textId="77777777" w:rsidR="004B56B9" w:rsidRDefault="004B5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179BE4B0" w14:textId="77777777" w:rsidR="004B56B9" w:rsidRDefault="004B56B9">
            <w:pPr>
              <w:pStyle w:val="Footer"/>
              <w:jc w:val="right"/>
              <w:rPr>
                <w:sz w:val="12"/>
              </w:rPr>
            </w:pPr>
          </w:p>
          <w:p w14:paraId="52A0DF78" w14:textId="77777777" w:rsidR="004B56B9" w:rsidRDefault="005B278E">
            <w:pPr>
              <w:pStyle w:val="Footer"/>
              <w:tabs>
                <w:tab w:val="left" w:pos="13395"/>
                <w:tab w:val="right" w:pos="14400"/>
              </w:tabs>
              <w:rPr>
                <w:sz w:val="20"/>
              </w:rPr>
            </w:pPr>
            <w:r>
              <w:rPr>
                <w:sz w:val="20"/>
              </w:rPr>
              <w:tab/>
            </w:r>
            <w:r>
              <w:rPr>
                <w:sz w:val="20"/>
              </w:rPr>
              <w:tab/>
            </w:r>
            <w:r>
              <w:rPr>
                <w:sz w:val="20"/>
              </w:rPr>
              <w:tab/>
            </w:r>
            <w:r>
              <w:rPr>
                <w:sz w:val="20"/>
              </w:rPr>
              <w:tab/>
            </w:r>
            <w:r>
              <w:rPr>
                <w:sz w:val="20"/>
              </w:rPr>
              <w:t xml:space="preserve">Page </w:t>
            </w:r>
            <w:r>
              <w:rPr>
                <w:b/>
                <w:bCs/>
                <w:sz w:val="20"/>
                <w:szCs w:val="24"/>
              </w:rPr>
              <w:fldChar w:fldCharType="begin"/>
            </w:r>
            <w:r>
              <w:rPr>
                <w:b/>
                <w:bCs/>
                <w:sz w:val="20"/>
              </w:rPr>
              <w:instrText xml:space="preserve"> PAGE </w:instrText>
            </w:r>
            <w:r>
              <w:rPr>
                <w:b/>
                <w:bCs/>
                <w:sz w:val="20"/>
                <w:szCs w:val="24"/>
              </w:rPr>
              <w:fldChar w:fldCharType="separate"/>
            </w:r>
            <w:r>
              <w:rPr>
                <w:b/>
                <w:bCs/>
                <w:noProof/>
                <w:sz w:val="20"/>
              </w:rPr>
              <w:t>2</w:t>
            </w:r>
            <w:r>
              <w:rPr>
                <w:b/>
                <w:bCs/>
                <w:sz w:val="20"/>
                <w:szCs w:val="24"/>
              </w:rPr>
              <w:fldChar w:fldCharType="end"/>
            </w:r>
            <w:r>
              <w:rPr>
                <w:sz w:val="20"/>
              </w:rPr>
              <w:t xml:space="preserve"> of </w:t>
            </w:r>
            <w:r>
              <w:rPr>
                <w:b/>
                <w:bCs/>
                <w:sz w:val="20"/>
                <w:szCs w:val="24"/>
              </w:rPr>
              <w:fldChar w:fldCharType="begin"/>
            </w:r>
            <w:r>
              <w:rPr>
                <w:b/>
                <w:bCs/>
                <w:sz w:val="20"/>
              </w:rPr>
              <w:instrText xml:space="preserve"> NUMPAGES  </w:instrText>
            </w:r>
            <w:r>
              <w:rPr>
                <w:b/>
                <w:bCs/>
                <w:sz w:val="20"/>
                <w:szCs w:val="24"/>
              </w:rPr>
              <w:fldChar w:fldCharType="separate"/>
            </w:r>
            <w:r>
              <w:rPr>
                <w:b/>
                <w:bCs/>
                <w:noProof/>
                <w:sz w:val="20"/>
              </w:rPr>
              <w:t>2</w:t>
            </w:r>
            <w:r>
              <w:rPr>
                <w:b/>
                <w:bCs/>
                <w:sz w:val="20"/>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73C0A0" w14:textId="77777777" w:rsidR="004B56B9" w:rsidRDefault="004B56B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AEC9A5" w14:textId="77777777" w:rsidR="004B56B9" w:rsidRDefault="005B278E">
      <w:pPr>
        <w:spacing w:line="240" w:lineRule="auto"/>
      </w:pPr>
      <w:r>
        <w:separator/>
      </w:r>
    </w:p>
  </w:footnote>
  <w:footnote w:type="continuationSeparator" w:id="0">
    <w:p w14:paraId="7B409FED" w14:textId="77777777" w:rsidR="004B56B9" w:rsidRDefault="005B278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6102BE" w14:textId="77777777" w:rsidR="004B56B9" w:rsidRDefault="004B56B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6324D" w14:textId="77777777" w:rsidR="004B56B9" w:rsidRDefault="005B278E">
    <w:pPr>
      <w:pStyle w:val="Header"/>
      <w:jc w:val="center"/>
      <w:rPr>
        <w:b/>
        <w:smallCaps/>
        <w:u w:val="single"/>
      </w:rPr>
    </w:pPr>
    <w:r>
      <w:rPr>
        <w:b/>
        <w:smallCaps/>
        <w:u w:val="single"/>
      </w:rPr>
      <w:t>RFS 22-67778 Clarifications</w:t>
    </w:r>
  </w:p>
  <w:p w14:paraId="34C47443" w14:textId="77777777" w:rsidR="004B56B9" w:rsidRDefault="004B56B9">
    <w:pPr>
      <w:pStyle w:val="Header"/>
      <w:jc w:val="center"/>
      <w:rPr>
        <w:b/>
        <w:sz w:val="12"/>
        <w:u w:val="singl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F1A8B1" w14:textId="77777777" w:rsidR="004B56B9" w:rsidRDefault="004B56B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27B2D"/>
    <w:multiLevelType w:val="hybridMultilevel"/>
    <w:tmpl w:val="93C2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9458C"/>
    <w:multiLevelType w:val="hybridMultilevel"/>
    <w:tmpl w:val="9454E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87A95"/>
    <w:multiLevelType w:val="hybridMultilevel"/>
    <w:tmpl w:val="D038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FD7AF0"/>
    <w:multiLevelType w:val="hybridMultilevel"/>
    <w:tmpl w:val="5BBEE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56B9"/>
    <w:rsid w:val="004B56B9"/>
    <w:rsid w:val="005B27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A4432F7"/>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line="240" w:lineRule="auto"/>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rPr>
  </w:style>
  <w:style w:type="paragraph" w:styleId="ListParagraph">
    <w:name w:val="List Paragraph"/>
    <w:basedOn w:val="Normal"/>
    <w:uiPriority w:val="34"/>
    <w:qFormat/>
    <w:pPr>
      <w:ind w:left="720"/>
      <w:contextualSpacing/>
    </w:p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rPr>
  </w:style>
  <w:style w:type="character" w:customStyle="1" w:styleId="CommentTextChar">
    <w:name w:val="Comment Text Char"/>
    <w:basedOn w:val="DefaultParagraphFont"/>
    <w:link w:val="CommentText"/>
    <w:uiPriority w:val="99"/>
    <w:semiHidden/>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827298">
      <w:bodyDiv w:val="1"/>
      <w:marLeft w:val="0"/>
      <w:marRight w:val="0"/>
      <w:marTop w:val="0"/>
      <w:marBottom w:val="0"/>
      <w:divBdr>
        <w:top w:val="none" w:sz="0" w:space="0" w:color="auto"/>
        <w:left w:val="none" w:sz="0" w:space="0" w:color="auto"/>
        <w:bottom w:val="none" w:sz="0" w:space="0" w:color="auto"/>
        <w:right w:val="none" w:sz="0" w:space="0" w:color="auto"/>
      </w:divBdr>
    </w:div>
    <w:div w:id="606542496">
      <w:bodyDiv w:val="1"/>
      <w:marLeft w:val="0"/>
      <w:marRight w:val="0"/>
      <w:marTop w:val="0"/>
      <w:marBottom w:val="0"/>
      <w:divBdr>
        <w:top w:val="none" w:sz="0" w:space="0" w:color="auto"/>
        <w:left w:val="none" w:sz="0" w:space="0" w:color="auto"/>
        <w:bottom w:val="none" w:sz="0" w:space="0" w:color="auto"/>
        <w:right w:val="none" w:sz="0" w:space="0" w:color="auto"/>
      </w:divBdr>
    </w:div>
    <w:div w:id="1079520399">
      <w:bodyDiv w:val="1"/>
      <w:marLeft w:val="0"/>
      <w:marRight w:val="0"/>
      <w:marTop w:val="0"/>
      <w:marBottom w:val="0"/>
      <w:divBdr>
        <w:top w:val="none" w:sz="0" w:space="0" w:color="auto"/>
        <w:left w:val="none" w:sz="0" w:space="0" w:color="auto"/>
        <w:bottom w:val="none" w:sz="0" w:space="0" w:color="auto"/>
        <w:right w:val="none" w:sz="0" w:space="0" w:color="auto"/>
      </w:divBdr>
    </w:div>
    <w:div w:id="1507553097">
      <w:bodyDiv w:val="1"/>
      <w:marLeft w:val="0"/>
      <w:marRight w:val="0"/>
      <w:marTop w:val="0"/>
      <w:marBottom w:val="0"/>
      <w:divBdr>
        <w:top w:val="none" w:sz="0" w:space="0" w:color="auto"/>
        <w:left w:val="none" w:sz="0" w:space="0" w:color="auto"/>
        <w:bottom w:val="none" w:sz="0" w:space="0" w:color="auto"/>
        <w:right w:val="none" w:sz="0" w:space="0" w:color="auto"/>
      </w:divBdr>
    </w:div>
    <w:div w:id="188563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1 6 " ? > < p r o p e r t i e s   x m l n s = " h t t p : / / w w w . i m a n a g e . c o m / w o r k / x m l s c h e m a " >  
     < d o c u m e n t i d > L E G A L D O C S ! 2 1 6 1 0 4 1 4 . 1 < / d o c u m e n t i d >  
     < s e n d e r i d > J H 1 < / s e n d e r i d >  
     < s e n d e r e m a i l > J E R E M Y . H I L L @ D E N T O N S . C O M < / s e n d e r e m a i l >  
     < l a s t m o d i f i e d > 2 0 2 1 - 0 7 - 0 8 T 1 5 : 0 7 : 0 0 . 0 0 0 0 0 0 0 - 0 4 : 0 0 < / l a s t m o d i f i e d >  
     < d a t a b a s e > L E G A L D O C S < / d a t a b a s e >  
 < / p r o p e r t i e s > 
</file>

<file path=customXml/itemProps1.xml><?xml version="1.0" encoding="utf-8"?>
<ds:datastoreItem xmlns:ds="http://schemas.openxmlformats.org/officeDocument/2006/customXml" ds:itemID="{2B90EF76-A406-4F73-9DB2-1C5B348D4311}">
  <ds:schemaRefs>
    <ds:schemaRef ds:uri="http://www.imanage.com/work/xmlschem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441</Words>
  <Characters>2520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Brummet</dc:creator>
  <cp:lastModifiedBy>Karen Brummet</cp:lastModifiedBy>
  <cp:revision>2</cp:revision>
  <dcterms:created xsi:type="dcterms:W3CDTF">2021-07-08T22:25:00Z</dcterms:created>
  <dcterms:modified xsi:type="dcterms:W3CDTF">2021-07-08T22:25:00Z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DisableNotifications">
    <vt:lpwstr/>
  </property>
</Properties>
</file>